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7AE5" w14:textId="77777777" w:rsidR="007D361B" w:rsidRDefault="007D361B" w:rsidP="00994F83">
      <w:pPr>
        <w:spacing w:after="75" w:line="240" w:lineRule="auto"/>
        <w:jc w:val="center"/>
        <w:outlineLvl w:val="0"/>
        <w:rPr>
          <w:rFonts w:ascii="Arial" w:eastAsia="Times New Roman" w:hAnsi="Arial" w:cs="Arial"/>
          <w:color w:val="4A5E81"/>
          <w:kern w:val="36"/>
          <w:sz w:val="32"/>
          <w:szCs w:val="32"/>
          <w:lang w:eastAsia="fr-FR"/>
        </w:rPr>
      </w:pPr>
    </w:p>
    <w:p w14:paraId="0C69C374" w14:textId="6A4C1E90" w:rsidR="00994F83" w:rsidRPr="00D03329" w:rsidRDefault="007D361B" w:rsidP="00994F83">
      <w:pPr>
        <w:spacing w:after="75" w:line="240" w:lineRule="auto"/>
        <w:jc w:val="center"/>
        <w:outlineLvl w:val="0"/>
        <w:rPr>
          <w:rFonts w:eastAsia="Times New Roman" w:cstheme="minorHAnsi"/>
          <w:color w:val="4A5E81"/>
          <w:kern w:val="36"/>
          <w:sz w:val="32"/>
          <w:szCs w:val="32"/>
          <w:lang w:eastAsia="fr-FR"/>
        </w:rPr>
      </w:pPr>
      <w:r w:rsidRPr="00D277A6">
        <w:rPr>
          <w:rFonts w:eastAsia="Times New Roman" w:cstheme="minorHAnsi"/>
          <w:color w:val="4A5E81"/>
          <w:kern w:val="36"/>
          <w:sz w:val="32"/>
          <w:szCs w:val="32"/>
          <w:lang w:eastAsia="fr-FR"/>
        </w:rPr>
        <w:t xml:space="preserve">EXTRAIT : </w:t>
      </w:r>
      <w:r w:rsidR="00994F83" w:rsidRPr="00D03329">
        <w:rPr>
          <w:rFonts w:eastAsia="Times New Roman" w:cstheme="minorHAnsi"/>
          <w:color w:val="4A5E81"/>
          <w:kern w:val="36"/>
          <w:sz w:val="32"/>
          <w:szCs w:val="32"/>
          <w:lang w:eastAsia="fr-FR"/>
        </w:rPr>
        <w:t>Arrêté du 27 juillet 2021 portant reconnaissance de l'état de catastrophe naturelle</w:t>
      </w:r>
    </w:p>
    <w:p w14:paraId="507C01F8" w14:textId="77777777" w:rsidR="00994F83" w:rsidRPr="00D03329" w:rsidRDefault="00994F83" w:rsidP="00994F83">
      <w:pPr>
        <w:spacing w:after="0" w:line="240" w:lineRule="auto"/>
        <w:rPr>
          <w:rFonts w:eastAsia="Times New Roman" w:cstheme="minorHAnsi"/>
          <w:color w:val="3C3C3C"/>
          <w:sz w:val="24"/>
          <w:szCs w:val="24"/>
          <w:lang w:eastAsia="fr-FR"/>
        </w:rPr>
      </w:pPr>
      <w:r w:rsidRPr="00D03329">
        <w:rPr>
          <w:rFonts w:eastAsia="Times New Roman" w:cstheme="minorHAnsi"/>
          <w:color w:val="3C3C3C"/>
          <w:sz w:val="28"/>
          <w:szCs w:val="28"/>
          <w:lang w:eastAsia="fr-FR"/>
        </w:rPr>
        <w:t>NOR : INTE2122515A</w:t>
      </w:r>
      <w:r w:rsidRPr="00D03329">
        <w:rPr>
          <w:rFonts w:eastAsia="Times New Roman" w:cstheme="minorHAnsi"/>
          <w:color w:val="3C3C3C"/>
          <w:sz w:val="28"/>
          <w:szCs w:val="28"/>
          <w:lang w:eastAsia="fr-FR"/>
        </w:rPr>
        <w:br/>
        <w:t>ELI : https://www.legifrance.gouv.fr/eli/arrete/2021/7/27/INTE2122515A/jo/texte</w:t>
      </w:r>
      <w:r w:rsidRPr="00D03329">
        <w:rPr>
          <w:rFonts w:eastAsia="Times New Roman" w:cstheme="minorHAnsi"/>
          <w:color w:val="3C3C3C"/>
          <w:sz w:val="28"/>
          <w:szCs w:val="28"/>
          <w:lang w:eastAsia="fr-FR"/>
        </w:rPr>
        <w:br/>
      </w:r>
      <w:hyperlink r:id="rId5" w:history="1">
        <w:r w:rsidRPr="00D03329">
          <w:rPr>
            <w:rFonts w:eastAsia="Times New Roman" w:cstheme="minorHAnsi"/>
            <w:color w:val="4A5E81"/>
            <w:sz w:val="28"/>
            <w:szCs w:val="28"/>
            <w:u w:val="single"/>
            <w:lang w:eastAsia="fr-FR"/>
          </w:rPr>
          <w:t>JORF n°0202 du 31 août 2021</w:t>
        </w:r>
        <w:r w:rsidRPr="00D03329">
          <w:rPr>
            <w:rFonts w:eastAsia="Times New Roman" w:cstheme="minorHAnsi"/>
            <w:color w:val="4A5E81"/>
            <w:sz w:val="28"/>
            <w:szCs w:val="28"/>
            <w:u w:val="single"/>
            <w:lang w:eastAsia="fr-FR"/>
          </w:rPr>
          <w:br/>
        </w:r>
      </w:hyperlink>
      <w:r w:rsidRPr="00D03329">
        <w:rPr>
          <w:rFonts w:eastAsia="Times New Roman" w:cstheme="minorHAnsi"/>
          <w:color w:val="3C3C3C"/>
          <w:sz w:val="28"/>
          <w:szCs w:val="28"/>
          <w:lang w:eastAsia="fr-FR"/>
        </w:rPr>
        <w:t>Texte n° 1</w:t>
      </w:r>
      <w:r w:rsidRPr="00D03329">
        <w:rPr>
          <w:rFonts w:eastAsia="Times New Roman" w:cstheme="minorHAnsi"/>
          <w:color w:val="3C3C3C"/>
          <w:sz w:val="24"/>
          <w:szCs w:val="24"/>
          <w:lang w:eastAsia="fr-FR"/>
        </w:rPr>
        <w:br/>
      </w:r>
    </w:p>
    <w:p w14:paraId="40647636" w14:textId="77777777" w:rsidR="00994F83" w:rsidRPr="00D03329" w:rsidRDefault="00994F83" w:rsidP="00994F83">
      <w:pPr>
        <w:spacing w:after="0" w:line="240" w:lineRule="auto"/>
        <w:rPr>
          <w:rFonts w:eastAsia="Times New Roman" w:cstheme="minorHAnsi"/>
          <w:color w:val="3C3C3C"/>
          <w:sz w:val="24"/>
          <w:szCs w:val="24"/>
          <w:lang w:eastAsia="fr-FR"/>
        </w:rPr>
      </w:pPr>
      <w:hyperlink r:id="rId6" w:tgtFrame="_blank" w:tooltip="Extrait du Journal officiel électronique authentifié (PDF - 247,2 Ko, nouvelle fenêtre)" w:history="1">
        <w:r w:rsidRPr="00D03329">
          <w:rPr>
            <w:rFonts w:eastAsia="Times New Roman" w:cstheme="minorHAnsi"/>
            <w:b/>
            <w:bCs/>
            <w:color w:val="FFFFFF"/>
            <w:sz w:val="27"/>
            <w:szCs w:val="27"/>
            <w:u w:val="single"/>
            <w:shd w:val="clear" w:color="auto" w:fill="5C75A2"/>
            <w:lang w:eastAsia="fr-FR"/>
          </w:rPr>
          <w:t xml:space="preserve">Extrait du Journal officiel électronique </w:t>
        </w:r>
        <w:proofErr w:type="spellStart"/>
        <w:r w:rsidRPr="00D03329">
          <w:rPr>
            <w:rFonts w:eastAsia="Times New Roman" w:cstheme="minorHAnsi"/>
            <w:b/>
            <w:bCs/>
            <w:color w:val="FFFFFF"/>
            <w:sz w:val="27"/>
            <w:szCs w:val="27"/>
            <w:u w:val="single"/>
            <w:shd w:val="clear" w:color="auto" w:fill="5C75A2"/>
            <w:lang w:eastAsia="fr-FR"/>
          </w:rPr>
          <w:t>authentifié</w:t>
        </w:r>
        <w:r w:rsidRPr="00D03329">
          <w:rPr>
            <w:rFonts w:eastAsia="Times New Roman" w:cstheme="minorHAnsi"/>
            <w:i/>
            <w:iCs/>
            <w:color w:val="FFFFFF"/>
            <w:sz w:val="24"/>
            <w:szCs w:val="24"/>
            <w:shd w:val="clear" w:color="auto" w:fill="5C75A2"/>
            <w:lang w:eastAsia="fr-FR"/>
          </w:rPr>
          <w:t>PDF</w:t>
        </w:r>
        <w:proofErr w:type="spellEnd"/>
        <w:r w:rsidRPr="00D03329">
          <w:rPr>
            <w:rFonts w:eastAsia="Times New Roman" w:cstheme="minorHAnsi"/>
            <w:i/>
            <w:iCs/>
            <w:color w:val="FFFFFF"/>
            <w:sz w:val="24"/>
            <w:szCs w:val="24"/>
            <w:shd w:val="clear" w:color="auto" w:fill="5C75A2"/>
            <w:lang w:eastAsia="fr-FR"/>
          </w:rPr>
          <w:t xml:space="preserve"> - 247,2 Ko</w:t>
        </w:r>
      </w:hyperlink>
    </w:p>
    <w:p w14:paraId="17BEA67B" w14:textId="77777777" w:rsidR="007D361B" w:rsidRPr="00D277A6" w:rsidRDefault="007D361B" w:rsidP="00994F83">
      <w:pPr>
        <w:shd w:val="clear" w:color="auto" w:fill="F5F5F5"/>
        <w:spacing w:after="0" w:line="240" w:lineRule="auto"/>
        <w:jc w:val="center"/>
        <w:rPr>
          <w:rFonts w:eastAsia="Times New Roman" w:cstheme="minorHAnsi"/>
          <w:b/>
          <w:bCs/>
          <w:color w:val="4A5E81"/>
          <w:sz w:val="27"/>
          <w:szCs w:val="27"/>
          <w:lang w:eastAsia="fr-FR"/>
        </w:rPr>
      </w:pPr>
    </w:p>
    <w:p w14:paraId="5408A26D" w14:textId="77777777" w:rsidR="007D361B" w:rsidRPr="00D277A6" w:rsidRDefault="007D361B" w:rsidP="00994F83">
      <w:pPr>
        <w:shd w:val="clear" w:color="auto" w:fill="F5F5F5"/>
        <w:spacing w:after="0" w:line="240" w:lineRule="auto"/>
        <w:jc w:val="center"/>
        <w:rPr>
          <w:rFonts w:eastAsia="Times New Roman" w:cstheme="minorHAnsi"/>
          <w:b/>
          <w:bCs/>
          <w:color w:val="4A5E81"/>
          <w:sz w:val="27"/>
          <w:szCs w:val="27"/>
          <w:lang w:eastAsia="fr-FR"/>
        </w:rPr>
      </w:pPr>
    </w:p>
    <w:p w14:paraId="6D16879C" w14:textId="08057290" w:rsidR="00994F83" w:rsidRPr="00D03329" w:rsidRDefault="00994F83" w:rsidP="00994F83">
      <w:pPr>
        <w:shd w:val="clear" w:color="auto" w:fill="F5F5F5"/>
        <w:spacing w:after="0" w:line="240" w:lineRule="auto"/>
        <w:jc w:val="center"/>
        <w:rPr>
          <w:rFonts w:eastAsia="Times New Roman" w:cstheme="minorHAnsi"/>
          <w:b/>
          <w:bCs/>
          <w:color w:val="4A5E81"/>
          <w:sz w:val="27"/>
          <w:szCs w:val="27"/>
          <w:lang w:eastAsia="fr-FR"/>
        </w:rPr>
      </w:pPr>
      <w:r w:rsidRPr="00D03329">
        <w:rPr>
          <w:rFonts w:eastAsia="Times New Roman" w:cstheme="minorHAnsi"/>
          <w:b/>
          <w:bCs/>
          <w:color w:val="4A5E81"/>
          <w:sz w:val="27"/>
          <w:szCs w:val="27"/>
          <w:lang w:eastAsia="fr-FR"/>
        </w:rPr>
        <w:t>Version initiale</w:t>
      </w:r>
    </w:p>
    <w:p w14:paraId="26A82519" w14:textId="77777777" w:rsidR="00994F83" w:rsidRPr="00D03329" w:rsidRDefault="00994F83" w:rsidP="00994F83">
      <w:pPr>
        <w:spacing w:after="240" w:line="240" w:lineRule="auto"/>
        <w:rPr>
          <w:rFonts w:eastAsia="Times New Roman" w:cstheme="minorHAnsi"/>
          <w:color w:val="3C3C3C"/>
          <w:sz w:val="21"/>
          <w:szCs w:val="21"/>
          <w:lang w:eastAsia="fr-FR"/>
        </w:rPr>
      </w:pPr>
      <w:r w:rsidRPr="00D03329">
        <w:rPr>
          <w:rFonts w:eastAsia="Times New Roman" w:cstheme="minorHAnsi"/>
          <w:color w:val="3C3C3C"/>
          <w:sz w:val="21"/>
          <w:szCs w:val="21"/>
          <w:lang w:eastAsia="fr-FR"/>
        </w:rPr>
        <w:br/>
        <w:t>Le ministre de l'économie, des finances et de la relance, le ministre de l'intérieur et le ministre délégué auprès du ministre de l'économie, des finances et de la relance, chargé des comptes publics,</w:t>
      </w:r>
      <w:r w:rsidRPr="00D03329">
        <w:rPr>
          <w:rFonts w:eastAsia="Times New Roman" w:cstheme="minorHAnsi"/>
          <w:color w:val="3C3C3C"/>
          <w:sz w:val="21"/>
          <w:szCs w:val="21"/>
          <w:lang w:eastAsia="fr-FR"/>
        </w:rPr>
        <w:br/>
        <w:t>Vu le </w:t>
      </w:r>
      <w:hyperlink r:id="rId7" w:tooltip="Code des assurances (V)" w:history="1">
        <w:r w:rsidRPr="00D03329">
          <w:rPr>
            <w:rFonts w:eastAsia="Times New Roman" w:cstheme="minorHAnsi"/>
            <w:color w:val="4A5E81"/>
            <w:sz w:val="21"/>
            <w:szCs w:val="21"/>
            <w:u w:val="single"/>
            <w:lang w:eastAsia="fr-FR"/>
          </w:rPr>
          <w:t>code des assurances</w:t>
        </w:r>
      </w:hyperlink>
      <w:r w:rsidRPr="00D03329">
        <w:rPr>
          <w:rFonts w:eastAsia="Times New Roman" w:cstheme="minorHAnsi"/>
          <w:color w:val="3C3C3C"/>
          <w:sz w:val="21"/>
          <w:szCs w:val="21"/>
          <w:lang w:eastAsia="fr-FR"/>
        </w:rPr>
        <w:t>, notamment ses articles L. 122-7, L. 125-1 à L. 125-6 et A. 125-1 et suivants ;</w:t>
      </w:r>
      <w:r w:rsidRPr="00D03329">
        <w:rPr>
          <w:rFonts w:eastAsia="Times New Roman" w:cstheme="minorHAnsi"/>
          <w:color w:val="3C3C3C"/>
          <w:sz w:val="21"/>
          <w:szCs w:val="21"/>
          <w:lang w:eastAsia="fr-FR"/>
        </w:rPr>
        <w:br/>
        <w:t>Vu les avis rendus le 20 juillet 2021 par la commission interministérielle instituée par la circulaire n° 84-90 du 27 mars 1984 relative à l'indemnisation des victimes de catastrophe naturelle,</w:t>
      </w:r>
      <w:r w:rsidRPr="00D03329">
        <w:rPr>
          <w:rFonts w:eastAsia="Times New Roman" w:cstheme="minorHAnsi"/>
          <w:color w:val="3C3C3C"/>
          <w:sz w:val="21"/>
          <w:szCs w:val="21"/>
          <w:lang w:eastAsia="fr-FR"/>
        </w:rPr>
        <w:br/>
        <w:t>Arrêtent :</w:t>
      </w:r>
    </w:p>
    <w:p w14:paraId="1BA408CD" w14:textId="77777777" w:rsidR="00994F83" w:rsidRPr="00D03329" w:rsidRDefault="00994F83" w:rsidP="00994F83">
      <w:pPr>
        <w:numPr>
          <w:ilvl w:val="0"/>
          <w:numId w:val="2"/>
        </w:numPr>
        <w:spacing w:after="120" w:line="240" w:lineRule="auto"/>
        <w:outlineLvl w:val="3"/>
        <w:rPr>
          <w:rFonts w:eastAsia="Times New Roman" w:cstheme="minorHAnsi"/>
          <w:b/>
          <w:bCs/>
          <w:color w:val="4A5E81"/>
          <w:sz w:val="20"/>
          <w:szCs w:val="20"/>
          <w:lang w:eastAsia="fr-FR"/>
        </w:rPr>
      </w:pPr>
      <w:hyperlink r:id="rId8" w:history="1">
        <w:r w:rsidRPr="00D03329">
          <w:rPr>
            <w:rFonts w:eastAsia="Times New Roman" w:cstheme="minorHAnsi"/>
            <w:b/>
            <w:bCs/>
            <w:color w:val="4A5E81"/>
            <w:sz w:val="20"/>
            <w:szCs w:val="20"/>
            <w:u w:val="single"/>
            <w:lang w:eastAsia="fr-FR"/>
          </w:rPr>
          <w:t>Article 1</w:t>
        </w:r>
      </w:hyperlink>
    </w:p>
    <w:p w14:paraId="7EF25658" w14:textId="47F60C40" w:rsidR="00994F83" w:rsidRPr="00D03329" w:rsidRDefault="00994F83" w:rsidP="00994F83">
      <w:pPr>
        <w:spacing w:after="240" w:line="240" w:lineRule="auto"/>
        <w:ind w:left="720"/>
        <w:rPr>
          <w:rFonts w:eastAsia="Times New Roman" w:cstheme="minorHAnsi"/>
          <w:color w:val="3C3C3C"/>
          <w:sz w:val="20"/>
          <w:szCs w:val="20"/>
          <w:lang w:eastAsia="fr-FR"/>
        </w:rPr>
      </w:pPr>
      <w:r w:rsidRPr="00D03329">
        <w:rPr>
          <w:rFonts w:eastAsia="Times New Roman" w:cstheme="minorHAnsi"/>
          <w:color w:val="3C3C3C"/>
          <w:sz w:val="20"/>
          <w:szCs w:val="20"/>
          <w:lang w:eastAsia="fr-FR"/>
        </w:rPr>
        <w:t>En application du </w:t>
      </w:r>
      <w:hyperlink r:id="rId9" w:tooltip="Code des assurances (V)" w:history="1">
        <w:r w:rsidRPr="00D03329">
          <w:rPr>
            <w:rFonts w:eastAsia="Times New Roman" w:cstheme="minorHAnsi"/>
            <w:color w:val="4A5E81"/>
            <w:sz w:val="20"/>
            <w:szCs w:val="20"/>
            <w:u w:val="single"/>
            <w:lang w:eastAsia="fr-FR"/>
          </w:rPr>
          <w:t>code des assurances</w:t>
        </w:r>
      </w:hyperlink>
      <w:r w:rsidRPr="00D03329">
        <w:rPr>
          <w:rFonts w:eastAsia="Times New Roman" w:cstheme="minorHAnsi"/>
          <w:color w:val="3C3C3C"/>
          <w:sz w:val="20"/>
          <w:szCs w:val="20"/>
          <w:lang w:eastAsia="fr-FR"/>
        </w:rPr>
        <w:t>, les demandes de reconnaissance de l'état de catastrophe naturelle ont été examinées pour les dommages causés par les mouvements de terrain différentiels consécutifs à la sécheresse et à la réhydratation des sols.</w:t>
      </w:r>
      <w:r w:rsidRPr="00D03329">
        <w:rPr>
          <w:rFonts w:eastAsia="Times New Roman" w:cstheme="minorHAnsi"/>
          <w:color w:val="3C3C3C"/>
          <w:sz w:val="20"/>
          <w:szCs w:val="20"/>
          <w:lang w:eastAsia="fr-FR"/>
        </w:rPr>
        <w:br/>
        <w:t>Les communes faisant l'objet d'une constatation de l'état de catastrophe naturelle sont recensées en annexe I ci-après, pour le risque et aux périodes indiqués.</w:t>
      </w:r>
      <w:r w:rsidRPr="00D03329">
        <w:rPr>
          <w:rFonts w:eastAsia="Times New Roman" w:cstheme="minorHAnsi"/>
          <w:color w:val="3C3C3C"/>
          <w:sz w:val="20"/>
          <w:szCs w:val="20"/>
          <w:lang w:eastAsia="fr-FR"/>
        </w:rPr>
        <w:br/>
        <w:t>Les communes dont les demandes de reconnaissance de l'état de catastrophe naturelle sont rejetées sont recensées en annexe II ci-après, pour le risque et aux périodes indiqués.</w:t>
      </w:r>
    </w:p>
    <w:p w14:paraId="31E75ED0" w14:textId="77777777" w:rsidR="00994F83" w:rsidRPr="00D03329" w:rsidRDefault="00994F83" w:rsidP="00994F83">
      <w:pPr>
        <w:spacing w:beforeAutospacing="1" w:after="0" w:afterAutospacing="1" w:line="240" w:lineRule="auto"/>
        <w:ind w:left="720"/>
        <w:rPr>
          <w:rFonts w:eastAsia="Times New Roman" w:cstheme="minorHAnsi"/>
          <w:color w:val="3C3C3C"/>
          <w:lang w:eastAsia="fr-FR"/>
        </w:rPr>
      </w:pPr>
      <w:r w:rsidRPr="00D03329">
        <w:rPr>
          <w:rFonts w:eastAsia="Times New Roman" w:cstheme="minorHAnsi"/>
          <w:color w:val="3C3C3C"/>
          <w:lang w:eastAsia="fr-FR"/>
        </w:rPr>
        <w:t>Liens relatifs</w:t>
      </w:r>
    </w:p>
    <w:p w14:paraId="142D1A52" w14:textId="77777777" w:rsidR="00994F83" w:rsidRPr="00D03329" w:rsidRDefault="00994F83" w:rsidP="00994F83">
      <w:pPr>
        <w:numPr>
          <w:ilvl w:val="0"/>
          <w:numId w:val="2"/>
        </w:numPr>
        <w:spacing w:after="120" w:line="240" w:lineRule="auto"/>
        <w:outlineLvl w:val="3"/>
        <w:rPr>
          <w:rFonts w:eastAsia="Times New Roman" w:cstheme="minorHAnsi"/>
          <w:b/>
          <w:bCs/>
          <w:color w:val="4A5E81"/>
          <w:lang w:eastAsia="fr-FR"/>
        </w:rPr>
      </w:pPr>
      <w:hyperlink r:id="rId10" w:history="1">
        <w:r w:rsidRPr="00D03329">
          <w:rPr>
            <w:rFonts w:eastAsia="Times New Roman" w:cstheme="minorHAnsi"/>
            <w:b/>
            <w:bCs/>
            <w:color w:val="4A5E81"/>
            <w:u w:val="single"/>
            <w:lang w:eastAsia="fr-FR"/>
          </w:rPr>
          <w:t>Article 2</w:t>
        </w:r>
      </w:hyperlink>
    </w:p>
    <w:p w14:paraId="21577D94" w14:textId="4540C2AD" w:rsidR="00994F83" w:rsidRPr="00D03329" w:rsidRDefault="00994F83" w:rsidP="00994F83">
      <w:pPr>
        <w:spacing w:after="240" w:line="240" w:lineRule="auto"/>
        <w:ind w:left="720"/>
        <w:rPr>
          <w:rFonts w:eastAsia="Times New Roman" w:cstheme="minorHAnsi"/>
          <w:color w:val="3C3C3C"/>
          <w:sz w:val="20"/>
          <w:szCs w:val="20"/>
          <w:lang w:eastAsia="fr-FR"/>
        </w:rPr>
      </w:pPr>
      <w:r w:rsidRPr="00D03329">
        <w:rPr>
          <w:rFonts w:eastAsia="Times New Roman" w:cstheme="minorHAnsi"/>
          <w:color w:val="3C3C3C"/>
          <w:sz w:val="20"/>
          <w:szCs w:val="20"/>
          <w:lang w:eastAsia="fr-FR"/>
        </w:rPr>
        <w:t>L'état de catastrophe naturelle constaté par arrêté peut ouvrir droit à la garantie des assurés contre les effets des catastrophes naturelles sur les biens faisant l'objet des contrats d'assurance visés au </w:t>
      </w:r>
      <w:hyperlink r:id="rId11" w:tooltip="Code des assurances (V)" w:history="1">
        <w:r w:rsidRPr="00D03329">
          <w:rPr>
            <w:rFonts w:eastAsia="Times New Roman" w:cstheme="minorHAnsi"/>
            <w:color w:val="4A5E81"/>
            <w:sz w:val="20"/>
            <w:szCs w:val="20"/>
            <w:u w:val="single"/>
            <w:lang w:eastAsia="fr-FR"/>
          </w:rPr>
          <w:t>code des assurances</w:t>
        </w:r>
      </w:hyperlink>
      <w:r w:rsidRPr="00D03329">
        <w:rPr>
          <w:rFonts w:eastAsia="Times New Roman" w:cstheme="minorHAnsi"/>
          <w:color w:val="3C3C3C"/>
          <w:sz w:val="20"/>
          <w:szCs w:val="20"/>
          <w:lang w:eastAsia="fr-FR"/>
        </w:rPr>
        <w:t>, lorsque les dommages matériels directs qui en résultent ont eu pour cause déterminante l'effet de cet agent naturel et que les mesures habituelles à prendre pour prévenir ces dommages n'ont pu empêcher leur survenance ou n'ont pu être prises.</w:t>
      </w:r>
      <w:r w:rsidRPr="00D03329">
        <w:rPr>
          <w:rFonts w:eastAsia="Times New Roman" w:cstheme="minorHAnsi"/>
          <w:color w:val="3C3C3C"/>
          <w:sz w:val="20"/>
          <w:szCs w:val="20"/>
          <w:lang w:eastAsia="fr-FR"/>
        </w:rPr>
        <w:br/>
        <w:t>En outre, si l'assuré est couvert par un contrat visé au </w:t>
      </w:r>
      <w:hyperlink r:id="rId12" w:tooltip="Code des assurances (V)" w:history="1">
        <w:r w:rsidRPr="00D03329">
          <w:rPr>
            <w:rFonts w:eastAsia="Times New Roman" w:cstheme="minorHAnsi"/>
            <w:color w:val="4A5E81"/>
            <w:sz w:val="20"/>
            <w:szCs w:val="20"/>
            <w:u w:val="single"/>
            <w:lang w:eastAsia="fr-FR"/>
          </w:rPr>
          <w:t>code des assurances</w:t>
        </w:r>
      </w:hyperlink>
      <w:r w:rsidRPr="00D03329">
        <w:rPr>
          <w:rFonts w:eastAsia="Times New Roman" w:cstheme="minorHAnsi"/>
          <w:color w:val="3C3C3C"/>
          <w:sz w:val="20"/>
          <w:szCs w:val="20"/>
          <w:lang w:eastAsia="fr-FR"/>
        </w:rPr>
        <w:t>, l'état de catastrophe naturelle constaté peut ouvrir droit à la garantie précitée, dans les conditions prévues au contrat d'assurance correspondant.</w:t>
      </w:r>
    </w:p>
    <w:p w14:paraId="34795CAD" w14:textId="77777777" w:rsidR="00994F83" w:rsidRPr="00D277A6" w:rsidRDefault="00994F83" w:rsidP="00994F83">
      <w:pPr>
        <w:spacing w:beforeAutospacing="1" w:after="0" w:afterAutospacing="1" w:line="240" w:lineRule="auto"/>
        <w:ind w:left="720"/>
        <w:rPr>
          <w:rFonts w:eastAsia="Times New Roman" w:cstheme="minorHAnsi"/>
          <w:color w:val="3C3C3C"/>
          <w:sz w:val="20"/>
          <w:szCs w:val="20"/>
          <w:lang w:eastAsia="fr-FR"/>
        </w:rPr>
      </w:pPr>
      <w:r w:rsidRPr="00D03329">
        <w:rPr>
          <w:rFonts w:eastAsia="Times New Roman" w:cstheme="minorHAnsi"/>
          <w:color w:val="3C3C3C"/>
          <w:sz w:val="20"/>
          <w:szCs w:val="20"/>
          <w:lang w:eastAsia="fr-FR"/>
        </w:rPr>
        <w:t>Liens relatifs</w:t>
      </w:r>
    </w:p>
    <w:p w14:paraId="26CB5EA9" w14:textId="77777777" w:rsidR="00994F83" w:rsidRPr="00D03329" w:rsidRDefault="00994F83" w:rsidP="00994F83">
      <w:pPr>
        <w:numPr>
          <w:ilvl w:val="0"/>
          <w:numId w:val="2"/>
        </w:numPr>
        <w:spacing w:after="120" w:line="240" w:lineRule="auto"/>
        <w:outlineLvl w:val="3"/>
        <w:rPr>
          <w:rFonts w:eastAsia="Times New Roman" w:cstheme="minorHAnsi"/>
          <w:b/>
          <w:bCs/>
          <w:color w:val="4A5E81"/>
          <w:lang w:eastAsia="fr-FR"/>
        </w:rPr>
      </w:pPr>
      <w:hyperlink r:id="rId13" w:history="1">
        <w:r w:rsidRPr="00D03329">
          <w:rPr>
            <w:rFonts w:eastAsia="Times New Roman" w:cstheme="minorHAnsi"/>
            <w:b/>
            <w:bCs/>
            <w:color w:val="4A5E81"/>
            <w:u w:val="single"/>
            <w:lang w:eastAsia="fr-FR"/>
          </w:rPr>
          <w:t>Article 3</w:t>
        </w:r>
      </w:hyperlink>
    </w:p>
    <w:p w14:paraId="62FB30B1" w14:textId="60792F00" w:rsidR="00994F83" w:rsidRPr="00D03329" w:rsidRDefault="00994F83" w:rsidP="00994F83">
      <w:pPr>
        <w:spacing w:after="240" w:line="240" w:lineRule="auto"/>
        <w:ind w:left="720"/>
        <w:rPr>
          <w:rFonts w:eastAsia="Times New Roman" w:cstheme="minorHAnsi"/>
          <w:color w:val="3C3C3C"/>
          <w:sz w:val="20"/>
          <w:szCs w:val="20"/>
          <w:lang w:eastAsia="fr-FR"/>
        </w:rPr>
      </w:pPr>
      <w:r w:rsidRPr="00D03329">
        <w:rPr>
          <w:rFonts w:eastAsia="Times New Roman" w:cstheme="minorHAnsi"/>
          <w:color w:val="3C3C3C"/>
          <w:sz w:val="20"/>
          <w:szCs w:val="20"/>
          <w:lang w:eastAsia="fr-FR"/>
        </w:rPr>
        <w:t>La franchise applicable est modulée en fonction du nombre de constatations de l'état de catastrophe naturelle intervenues pour le même risque, au cours des cinq années précédant la date de signature du présent arrêté, dans les communes qui ne sont pas dotées d'un plan de prévention des risques naturels prévisibles pour le risque concerné.</w:t>
      </w:r>
      <w:r w:rsidRPr="00D03329">
        <w:rPr>
          <w:rFonts w:eastAsia="Times New Roman" w:cstheme="minorHAnsi"/>
          <w:color w:val="3C3C3C"/>
          <w:sz w:val="20"/>
          <w:szCs w:val="20"/>
          <w:lang w:eastAsia="fr-FR"/>
        </w:rPr>
        <w:br/>
        <w:t>Pour ces communes, le nombre de ces constatations figure entre parenthèses, dans l'annexe I. Il prend en compte non seulement les constatations antérieures prises pour un même risque, mais aussi la présente constatation.</w:t>
      </w:r>
    </w:p>
    <w:p w14:paraId="5987D216" w14:textId="2430A8DE" w:rsidR="00994F83" w:rsidRPr="00D03329" w:rsidRDefault="00994F83" w:rsidP="00994F83">
      <w:pPr>
        <w:numPr>
          <w:ilvl w:val="0"/>
          <w:numId w:val="2"/>
        </w:numPr>
        <w:spacing w:after="120" w:line="240" w:lineRule="auto"/>
        <w:outlineLvl w:val="3"/>
        <w:rPr>
          <w:rFonts w:eastAsia="Times New Roman" w:cstheme="minorHAnsi"/>
          <w:b/>
          <w:bCs/>
          <w:color w:val="4A5E81"/>
          <w:lang w:eastAsia="fr-FR"/>
        </w:rPr>
      </w:pPr>
      <w:hyperlink r:id="rId14" w:history="1">
        <w:r w:rsidRPr="00D03329">
          <w:rPr>
            <w:rFonts w:eastAsia="Times New Roman" w:cstheme="minorHAnsi"/>
            <w:b/>
            <w:bCs/>
            <w:color w:val="4A5E81"/>
            <w:u w:val="single"/>
            <w:lang w:eastAsia="fr-FR"/>
          </w:rPr>
          <w:t>Article</w:t>
        </w:r>
        <w:r w:rsidRPr="00D277A6">
          <w:rPr>
            <w:rFonts w:eastAsia="Times New Roman" w:cstheme="minorHAnsi"/>
            <w:b/>
            <w:bCs/>
            <w:color w:val="4A5E81"/>
            <w:u w:val="single"/>
            <w:lang w:eastAsia="fr-FR"/>
          </w:rPr>
          <w:t xml:space="preserve"> </w:t>
        </w:r>
        <w:r w:rsidRPr="00D03329">
          <w:rPr>
            <w:rFonts w:eastAsia="Times New Roman" w:cstheme="minorHAnsi"/>
            <w:b/>
            <w:bCs/>
            <w:color w:val="4A5E81"/>
            <w:u w:val="single"/>
            <w:lang w:eastAsia="fr-FR"/>
          </w:rPr>
          <w:t>4</w:t>
        </w:r>
      </w:hyperlink>
    </w:p>
    <w:p w14:paraId="18244E4D" w14:textId="7239856F" w:rsidR="00994F83" w:rsidRPr="00D277A6" w:rsidRDefault="00994F83" w:rsidP="00994F83">
      <w:pPr>
        <w:spacing w:after="240" w:line="240" w:lineRule="auto"/>
        <w:ind w:left="720"/>
        <w:rPr>
          <w:rFonts w:eastAsia="Times New Roman" w:cstheme="minorHAnsi"/>
          <w:color w:val="3C3C3C"/>
          <w:sz w:val="20"/>
          <w:szCs w:val="20"/>
          <w:lang w:eastAsia="fr-FR"/>
        </w:rPr>
      </w:pPr>
      <w:r w:rsidRPr="00D03329">
        <w:rPr>
          <w:rFonts w:eastAsia="Times New Roman" w:cstheme="minorHAnsi"/>
          <w:color w:val="3C3C3C"/>
          <w:sz w:val="20"/>
          <w:szCs w:val="20"/>
          <w:lang w:eastAsia="fr-FR"/>
        </w:rPr>
        <w:t>Le présent arrêté sera publié au Journal officiel de la République française.</w:t>
      </w:r>
    </w:p>
    <w:p w14:paraId="23C0FACC" w14:textId="46391E32" w:rsidR="007D361B" w:rsidRDefault="007D361B" w:rsidP="00994F83">
      <w:pPr>
        <w:spacing w:after="240" w:line="240" w:lineRule="auto"/>
        <w:ind w:left="720"/>
        <w:rPr>
          <w:rFonts w:eastAsia="Times New Roman" w:cstheme="minorHAnsi"/>
          <w:color w:val="3C3C3C"/>
          <w:sz w:val="20"/>
          <w:szCs w:val="20"/>
          <w:lang w:eastAsia="fr-FR"/>
        </w:rPr>
      </w:pPr>
    </w:p>
    <w:p w14:paraId="43DC9193" w14:textId="2DE7D083" w:rsidR="00994F83" w:rsidRPr="00D03329" w:rsidRDefault="00994F83" w:rsidP="0087706C">
      <w:pPr>
        <w:spacing w:after="0" w:line="360" w:lineRule="atLeast"/>
        <w:outlineLvl w:val="2"/>
        <w:rPr>
          <w:rFonts w:eastAsia="Times New Roman" w:cstheme="minorHAnsi"/>
          <w:b/>
          <w:bCs/>
          <w:color w:val="3C3C3C"/>
          <w:sz w:val="24"/>
          <w:szCs w:val="24"/>
          <w:lang w:eastAsia="fr-FR"/>
        </w:rPr>
      </w:pPr>
    </w:p>
    <w:p w14:paraId="7FC997AE" w14:textId="21103FB8" w:rsidR="00994F83" w:rsidRPr="00D03329" w:rsidRDefault="00994F83" w:rsidP="0087706C">
      <w:pPr>
        <w:spacing w:after="120" w:line="240" w:lineRule="auto"/>
        <w:outlineLvl w:val="3"/>
        <w:rPr>
          <w:rFonts w:eastAsia="Times New Roman" w:cstheme="minorHAnsi"/>
          <w:b/>
          <w:bCs/>
          <w:color w:val="4A5E81"/>
          <w:sz w:val="24"/>
          <w:szCs w:val="24"/>
          <w:lang w:eastAsia="fr-FR"/>
        </w:rPr>
      </w:pPr>
    </w:p>
    <w:p w14:paraId="5CD79D43" w14:textId="061A5790" w:rsidR="00994F83" w:rsidRPr="00D277A6" w:rsidRDefault="00994F83" w:rsidP="007D361B">
      <w:pPr>
        <w:spacing w:after="240" w:line="240" w:lineRule="auto"/>
        <w:ind w:left="1080"/>
        <w:rPr>
          <w:rFonts w:eastAsia="Times New Roman" w:cstheme="minorHAnsi"/>
          <w:color w:val="3C3C3C"/>
          <w:sz w:val="28"/>
          <w:szCs w:val="28"/>
          <w:lang w:eastAsia="fr-FR"/>
        </w:rPr>
      </w:pPr>
      <w:r w:rsidRPr="00D03329">
        <w:rPr>
          <w:rFonts w:eastAsia="Times New Roman" w:cstheme="minorHAnsi"/>
          <w:color w:val="3C3C3C"/>
          <w:sz w:val="32"/>
          <w:szCs w:val="32"/>
          <w:lang w:eastAsia="fr-FR"/>
        </w:rPr>
        <w:t>ANNEXES</w:t>
      </w:r>
      <w:r w:rsidRPr="00D03329">
        <w:rPr>
          <w:rFonts w:eastAsia="Times New Roman" w:cstheme="minorHAnsi"/>
          <w:color w:val="3C3C3C"/>
          <w:sz w:val="28"/>
          <w:szCs w:val="28"/>
          <w:lang w:eastAsia="fr-FR"/>
        </w:rPr>
        <w:br/>
        <w:t>ANNEXE I</w:t>
      </w:r>
    </w:p>
    <w:p w14:paraId="5065ED9D" w14:textId="77777777" w:rsidR="00531E83" w:rsidRPr="00D277A6" w:rsidRDefault="00994F83" w:rsidP="00531E83">
      <w:pPr>
        <w:spacing w:after="240" w:line="240" w:lineRule="auto"/>
        <w:ind w:left="372" w:firstLine="708"/>
        <w:rPr>
          <w:rFonts w:eastAsia="Times New Roman" w:cstheme="minorHAnsi"/>
          <w:color w:val="3C3C3C"/>
          <w:sz w:val="28"/>
          <w:szCs w:val="28"/>
          <w:u w:val="single"/>
          <w:lang w:eastAsia="fr-FR"/>
        </w:rPr>
      </w:pPr>
      <w:r w:rsidRPr="00D03329">
        <w:rPr>
          <w:rFonts w:eastAsia="Times New Roman" w:cstheme="minorHAnsi"/>
          <w:color w:val="3C3C3C"/>
          <w:sz w:val="28"/>
          <w:szCs w:val="28"/>
          <w:highlight w:val="yellow"/>
          <w:u w:val="single"/>
          <w:lang w:eastAsia="fr-FR"/>
        </w:rPr>
        <w:t>COMMUNES RECONNUES EN ÉTAT DE CATASTROPHE NATURELLE</w:t>
      </w:r>
    </w:p>
    <w:p w14:paraId="0D3B07FE" w14:textId="359FD973" w:rsidR="00994F83" w:rsidRPr="00D277A6" w:rsidRDefault="00994F83" w:rsidP="00531E83">
      <w:pPr>
        <w:spacing w:after="240" w:line="240" w:lineRule="auto"/>
        <w:ind w:left="372" w:firstLine="708"/>
        <w:rPr>
          <w:rFonts w:eastAsia="Times New Roman" w:cstheme="minorHAnsi"/>
          <w:color w:val="3C3C3C"/>
          <w:sz w:val="24"/>
          <w:szCs w:val="24"/>
          <w:u w:val="single"/>
          <w:lang w:eastAsia="fr-FR"/>
        </w:rPr>
      </w:pPr>
      <w:r w:rsidRPr="00D03329">
        <w:rPr>
          <w:rFonts w:eastAsia="Times New Roman" w:cstheme="minorHAnsi"/>
          <w:color w:val="3C3C3C"/>
          <w:sz w:val="24"/>
          <w:szCs w:val="24"/>
          <w:highlight w:val="yellow"/>
          <w:lang w:eastAsia="fr-FR"/>
        </w:rPr>
        <w:t>DÉPARTEMENT DU NORD</w:t>
      </w:r>
    </w:p>
    <w:p w14:paraId="3F3B48CA" w14:textId="29F3E8E9" w:rsidR="00994F83" w:rsidRPr="00D03329" w:rsidRDefault="00994F83" w:rsidP="00D277A6">
      <w:pPr>
        <w:spacing w:after="240" w:line="240" w:lineRule="auto"/>
        <w:ind w:left="1080"/>
        <w:rPr>
          <w:rFonts w:eastAsia="Times New Roman" w:cstheme="minorHAnsi"/>
          <w:color w:val="3C3C3C"/>
          <w:sz w:val="24"/>
          <w:szCs w:val="24"/>
          <w:highlight w:val="yellow"/>
          <w:lang w:eastAsia="fr-FR"/>
        </w:rPr>
      </w:pPr>
      <w:r w:rsidRPr="00D03329">
        <w:rPr>
          <w:rFonts w:eastAsia="Times New Roman" w:cstheme="minorHAnsi"/>
          <w:color w:val="3C3C3C"/>
          <w:sz w:val="24"/>
          <w:szCs w:val="24"/>
          <w:highlight w:val="yellow"/>
          <w:lang w:eastAsia="fr-FR"/>
        </w:rPr>
        <w:br/>
        <w:t>Mouvements de terrain différentiels consécutifs à la sécheresse et à la réhydratation des sols du 1er avril 2020 au 30 juin 2020</w:t>
      </w:r>
    </w:p>
    <w:p w14:paraId="6064420D" w14:textId="5B46CD26" w:rsidR="00994F83" w:rsidRPr="00D03329" w:rsidRDefault="00994F83" w:rsidP="007D361B">
      <w:pPr>
        <w:spacing w:after="240" w:line="240" w:lineRule="auto"/>
        <w:ind w:left="1080"/>
        <w:rPr>
          <w:rFonts w:eastAsia="Times New Roman" w:cstheme="minorHAnsi"/>
          <w:color w:val="3C3C3C"/>
          <w:sz w:val="24"/>
          <w:szCs w:val="24"/>
          <w:lang w:eastAsia="fr-FR"/>
        </w:rPr>
      </w:pPr>
      <w:r w:rsidRPr="00D03329">
        <w:rPr>
          <w:rFonts w:eastAsia="Times New Roman" w:cstheme="minorHAnsi"/>
          <w:color w:val="3C3C3C"/>
          <w:sz w:val="24"/>
          <w:szCs w:val="24"/>
          <w:highlight w:val="yellow"/>
          <w:lang w:eastAsia="fr-FR"/>
        </w:rPr>
        <w:t>Communes de Boeschepe (1), Hazebrouck (2), Renescure (1), Terdeghem (1).</w:t>
      </w:r>
    </w:p>
    <w:p w14:paraId="33DC4CDD" w14:textId="77777777" w:rsidR="00994F83" w:rsidRPr="00D03329" w:rsidRDefault="00994F83" w:rsidP="007D361B">
      <w:pPr>
        <w:spacing w:after="240" w:line="240" w:lineRule="auto"/>
        <w:ind w:left="1080"/>
        <w:rPr>
          <w:rFonts w:eastAsia="Times New Roman" w:cstheme="minorHAnsi"/>
          <w:color w:val="3C3C3C"/>
          <w:sz w:val="24"/>
          <w:szCs w:val="24"/>
          <w:highlight w:val="yellow"/>
          <w:lang w:eastAsia="fr-FR"/>
        </w:rPr>
      </w:pPr>
      <w:r w:rsidRPr="00D03329">
        <w:rPr>
          <w:rFonts w:eastAsia="Times New Roman" w:cstheme="minorHAnsi"/>
          <w:color w:val="3C3C3C"/>
          <w:sz w:val="24"/>
          <w:szCs w:val="24"/>
          <w:highlight w:val="yellow"/>
          <w:lang w:eastAsia="fr-FR"/>
        </w:rPr>
        <w:t>Mouvements de terrain différentiels consécutifs à la sécheresse et à la réhydratation des sols du 1er avril 2020 au 30 septembre 2020</w:t>
      </w:r>
    </w:p>
    <w:p w14:paraId="36EE2091" w14:textId="791632C9" w:rsidR="00994F83" w:rsidRPr="00D03329" w:rsidRDefault="00994F83" w:rsidP="0087706C">
      <w:pPr>
        <w:spacing w:after="240" w:line="240" w:lineRule="auto"/>
        <w:ind w:left="1080"/>
        <w:rPr>
          <w:rFonts w:eastAsia="Times New Roman" w:cstheme="minorHAnsi"/>
          <w:color w:val="3C3C3C"/>
          <w:sz w:val="24"/>
          <w:szCs w:val="24"/>
          <w:lang w:eastAsia="fr-FR"/>
        </w:rPr>
      </w:pPr>
      <w:r w:rsidRPr="00D03329">
        <w:rPr>
          <w:rFonts w:eastAsia="Times New Roman" w:cstheme="minorHAnsi"/>
          <w:color w:val="3C3C3C"/>
          <w:sz w:val="24"/>
          <w:szCs w:val="24"/>
          <w:highlight w:val="yellow"/>
          <w:lang w:eastAsia="fr-FR"/>
        </w:rPr>
        <w:t>Communes d'Echinghen (1), Laventie (1), Sailly-sur-la-Lys (1).</w:t>
      </w:r>
    </w:p>
    <w:p w14:paraId="6864284D" w14:textId="63A737B0" w:rsidR="00994F83" w:rsidRPr="00D03329" w:rsidRDefault="00994F83" w:rsidP="0087706C">
      <w:pPr>
        <w:spacing w:after="120" w:line="240" w:lineRule="auto"/>
        <w:ind w:left="1440"/>
        <w:outlineLvl w:val="3"/>
        <w:rPr>
          <w:rFonts w:eastAsia="Times New Roman" w:cstheme="minorHAnsi"/>
          <w:b/>
          <w:bCs/>
          <w:color w:val="4A5E81"/>
          <w:sz w:val="24"/>
          <w:szCs w:val="24"/>
          <w:lang w:eastAsia="fr-FR"/>
        </w:rPr>
      </w:pPr>
    </w:p>
    <w:p w14:paraId="0EE8B577" w14:textId="3B9DF5D2" w:rsidR="00994F83" w:rsidRPr="00D277A6" w:rsidRDefault="00994F83" w:rsidP="007D361B">
      <w:pPr>
        <w:spacing w:after="240" w:line="240" w:lineRule="auto"/>
        <w:ind w:left="1080"/>
        <w:rPr>
          <w:rFonts w:eastAsia="Times New Roman" w:cstheme="minorHAnsi"/>
          <w:color w:val="3C3C3C"/>
          <w:sz w:val="28"/>
          <w:szCs w:val="28"/>
          <w:lang w:eastAsia="fr-FR"/>
        </w:rPr>
      </w:pPr>
      <w:r w:rsidRPr="00D03329">
        <w:rPr>
          <w:rFonts w:eastAsia="Times New Roman" w:cstheme="minorHAnsi"/>
          <w:color w:val="3C3C3C"/>
          <w:sz w:val="28"/>
          <w:szCs w:val="28"/>
          <w:lang w:eastAsia="fr-FR"/>
        </w:rPr>
        <w:t>ANNEXE II</w:t>
      </w:r>
    </w:p>
    <w:p w14:paraId="43C70ACF" w14:textId="77777777" w:rsidR="00D277A6" w:rsidRPr="00D277A6" w:rsidRDefault="00994F83" w:rsidP="007D361B">
      <w:pPr>
        <w:spacing w:after="240" w:line="240" w:lineRule="auto"/>
        <w:ind w:left="1080"/>
        <w:rPr>
          <w:rFonts w:eastAsia="Times New Roman" w:cstheme="minorHAnsi"/>
          <w:color w:val="3C3C3C"/>
          <w:sz w:val="28"/>
          <w:szCs w:val="28"/>
          <w:u w:val="single"/>
          <w:lang w:eastAsia="fr-FR"/>
        </w:rPr>
      </w:pPr>
      <w:r w:rsidRPr="00D03329">
        <w:rPr>
          <w:rFonts w:eastAsia="Times New Roman" w:cstheme="minorHAnsi"/>
          <w:color w:val="3C3C3C"/>
          <w:sz w:val="28"/>
          <w:szCs w:val="28"/>
          <w:highlight w:val="yellow"/>
          <w:u w:val="single"/>
          <w:lang w:eastAsia="fr-FR"/>
        </w:rPr>
        <w:t>COMMUNES NON RECONNUES EN ÉTAT DE CATASTROPHE NATURELLE</w:t>
      </w:r>
    </w:p>
    <w:p w14:paraId="3134E77D" w14:textId="5F07A80E" w:rsidR="007D361B" w:rsidRPr="00D277A6" w:rsidRDefault="00994F83" w:rsidP="007D361B">
      <w:pPr>
        <w:spacing w:after="240" w:line="240" w:lineRule="auto"/>
        <w:ind w:left="1080"/>
        <w:rPr>
          <w:rFonts w:eastAsia="Times New Roman" w:cstheme="minorHAnsi"/>
          <w:color w:val="3C3C3C"/>
          <w:sz w:val="24"/>
          <w:szCs w:val="24"/>
          <w:highlight w:val="yellow"/>
          <w:u w:val="single"/>
          <w:lang w:eastAsia="fr-FR"/>
        </w:rPr>
      </w:pPr>
      <w:r w:rsidRPr="00D03329">
        <w:rPr>
          <w:rFonts w:eastAsia="Times New Roman" w:cstheme="minorHAnsi"/>
          <w:color w:val="3C3C3C"/>
          <w:sz w:val="24"/>
          <w:szCs w:val="24"/>
          <w:highlight w:val="yellow"/>
          <w:u w:val="single"/>
          <w:lang w:eastAsia="fr-FR"/>
        </w:rPr>
        <w:t>DÉPARTEMENT DU NORD</w:t>
      </w:r>
    </w:p>
    <w:p w14:paraId="7AC9FA74" w14:textId="55A162F4" w:rsidR="00994F83" w:rsidRPr="00D03329" w:rsidRDefault="00994F83" w:rsidP="007D361B">
      <w:pPr>
        <w:spacing w:after="240" w:line="240" w:lineRule="auto"/>
        <w:ind w:left="1080"/>
        <w:rPr>
          <w:rFonts w:eastAsia="Times New Roman" w:cstheme="minorHAnsi"/>
          <w:color w:val="3C3C3C"/>
          <w:sz w:val="24"/>
          <w:szCs w:val="24"/>
          <w:highlight w:val="yellow"/>
          <w:u w:val="single"/>
          <w:lang w:eastAsia="fr-FR"/>
        </w:rPr>
      </w:pPr>
      <w:r w:rsidRPr="00D03329">
        <w:rPr>
          <w:rFonts w:eastAsia="Times New Roman" w:cstheme="minorHAnsi"/>
          <w:color w:val="3C3C3C"/>
          <w:sz w:val="24"/>
          <w:szCs w:val="24"/>
          <w:highlight w:val="yellow"/>
          <w:lang w:eastAsia="fr-FR"/>
        </w:rPr>
        <w:t>Mouvements de terrain différentiels consécutifs à la sécheresse et à la réhydratation des sols du 1er janvier 2020 au 7 décembre 2020</w:t>
      </w:r>
    </w:p>
    <w:p w14:paraId="205FCAB9" w14:textId="03B46601" w:rsidR="0033301F" w:rsidRDefault="00994F83" w:rsidP="007D361B">
      <w:pPr>
        <w:spacing w:after="240" w:line="240" w:lineRule="auto"/>
        <w:ind w:left="372" w:firstLine="708"/>
        <w:rPr>
          <w:rFonts w:eastAsia="Times New Roman" w:cstheme="minorHAnsi"/>
          <w:color w:val="3C3C3C"/>
          <w:sz w:val="24"/>
          <w:szCs w:val="24"/>
          <w:lang w:eastAsia="fr-FR"/>
        </w:rPr>
      </w:pPr>
      <w:r w:rsidRPr="00D03329">
        <w:rPr>
          <w:rFonts w:eastAsia="Times New Roman" w:cstheme="minorHAnsi"/>
          <w:color w:val="3C3C3C"/>
          <w:sz w:val="24"/>
          <w:szCs w:val="24"/>
          <w:highlight w:val="yellow"/>
          <w:lang w:eastAsia="fr-FR"/>
        </w:rPr>
        <w:t>Commune de Bierne.</w:t>
      </w:r>
    </w:p>
    <w:p w14:paraId="3AB9F9D3" w14:textId="77777777" w:rsidR="0087706C" w:rsidRPr="00D277A6" w:rsidRDefault="0087706C" w:rsidP="007D361B">
      <w:pPr>
        <w:spacing w:after="240" w:line="240" w:lineRule="auto"/>
        <w:ind w:left="372" w:firstLine="708"/>
        <w:rPr>
          <w:rFonts w:eastAsia="Times New Roman" w:cstheme="minorHAnsi"/>
          <w:color w:val="3C3C3C"/>
          <w:sz w:val="24"/>
          <w:szCs w:val="24"/>
          <w:lang w:eastAsia="fr-FR"/>
        </w:rPr>
      </w:pPr>
    </w:p>
    <w:p w14:paraId="39DEACDD" w14:textId="77777777" w:rsidR="00994F83" w:rsidRPr="00D03329" w:rsidRDefault="00994F83" w:rsidP="007D361B">
      <w:pPr>
        <w:spacing w:after="240" w:line="240" w:lineRule="auto"/>
        <w:ind w:firstLine="372"/>
        <w:rPr>
          <w:rFonts w:eastAsia="Times New Roman" w:cstheme="minorHAnsi"/>
          <w:color w:val="3C3C3C"/>
          <w:sz w:val="21"/>
          <w:szCs w:val="21"/>
          <w:lang w:eastAsia="fr-FR"/>
        </w:rPr>
      </w:pPr>
      <w:r w:rsidRPr="00D03329">
        <w:rPr>
          <w:rFonts w:eastAsia="Times New Roman" w:cstheme="minorHAnsi"/>
          <w:color w:val="3C3C3C"/>
          <w:sz w:val="21"/>
          <w:szCs w:val="21"/>
          <w:lang w:eastAsia="fr-FR"/>
        </w:rPr>
        <w:t>Fait le 27 juillet 2021.</w:t>
      </w:r>
    </w:p>
    <w:p w14:paraId="2E9A800A" w14:textId="30FC0837" w:rsidR="00994F83" w:rsidRPr="00D03329" w:rsidRDefault="00994F83" w:rsidP="007D361B">
      <w:pPr>
        <w:spacing w:after="240" w:line="240" w:lineRule="auto"/>
        <w:ind w:left="372"/>
        <w:rPr>
          <w:rFonts w:eastAsia="Times New Roman" w:cstheme="minorHAnsi"/>
          <w:color w:val="3C3C3C"/>
          <w:sz w:val="21"/>
          <w:szCs w:val="21"/>
          <w:lang w:eastAsia="fr-FR"/>
        </w:rPr>
      </w:pPr>
      <w:r w:rsidRPr="00D03329">
        <w:rPr>
          <w:rFonts w:eastAsia="Times New Roman" w:cstheme="minorHAnsi"/>
          <w:color w:val="3C3C3C"/>
          <w:sz w:val="21"/>
          <w:szCs w:val="21"/>
          <w:lang w:eastAsia="fr-FR"/>
        </w:rPr>
        <w:t xml:space="preserve">Le ministre de </w:t>
      </w:r>
      <w:r w:rsidRPr="00D277A6">
        <w:rPr>
          <w:rFonts w:eastAsia="Times New Roman" w:cstheme="minorHAnsi"/>
          <w:color w:val="3C3C3C"/>
          <w:sz w:val="21"/>
          <w:szCs w:val="21"/>
          <w:lang w:eastAsia="fr-FR"/>
        </w:rPr>
        <w:t>l’Intérieur</w:t>
      </w:r>
      <w:r w:rsidRPr="00D03329">
        <w:rPr>
          <w:rFonts w:eastAsia="Times New Roman" w:cstheme="minorHAnsi"/>
          <w:color w:val="3C3C3C"/>
          <w:sz w:val="21"/>
          <w:szCs w:val="21"/>
          <w:lang w:eastAsia="fr-FR"/>
        </w:rPr>
        <w:t>,</w:t>
      </w:r>
      <w:r w:rsidRPr="00D03329">
        <w:rPr>
          <w:rFonts w:eastAsia="Times New Roman" w:cstheme="minorHAnsi"/>
          <w:color w:val="3C3C3C"/>
          <w:sz w:val="21"/>
          <w:szCs w:val="21"/>
          <w:lang w:eastAsia="fr-FR"/>
        </w:rPr>
        <w:br/>
        <w:t>Pour le ministre et par délégation :</w:t>
      </w:r>
      <w:r w:rsidRPr="00D03329">
        <w:rPr>
          <w:rFonts w:eastAsia="Times New Roman" w:cstheme="minorHAnsi"/>
          <w:color w:val="3C3C3C"/>
          <w:sz w:val="21"/>
          <w:szCs w:val="21"/>
          <w:lang w:eastAsia="fr-FR"/>
        </w:rPr>
        <w:br/>
        <w:t>L'adjoint au directeur général de la sécurité civile et de la gestion des crises,</w:t>
      </w:r>
      <w:r w:rsidRPr="00D03329">
        <w:rPr>
          <w:rFonts w:eastAsia="Times New Roman" w:cstheme="minorHAnsi"/>
          <w:color w:val="3C3C3C"/>
          <w:sz w:val="21"/>
          <w:szCs w:val="21"/>
          <w:lang w:eastAsia="fr-FR"/>
        </w:rPr>
        <w:br/>
        <w:t>R. Royet</w:t>
      </w:r>
    </w:p>
    <w:p w14:paraId="782ECCBB" w14:textId="4FD3E059" w:rsidR="00994F83" w:rsidRPr="00D03329" w:rsidRDefault="00994F83" w:rsidP="007D361B">
      <w:pPr>
        <w:spacing w:after="240" w:line="240" w:lineRule="auto"/>
        <w:ind w:left="372"/>
        <w:rPr>
          <w:rFonts w:eastAsia="Times New Roman" w:cstheme="minorHAnsi"/>
          <w:color w:val="3C3C3C"/>
          <w:sz w:val="21"/>
          <w:szCs w:val="21"/>
          <w:lang w:eastAsia="fr-FR"/>
        </w:rPr>
      </w:pPr>
      <w:r w:rsidRPr="00D03329">
        <w:rPr>
          <w:rFonts w:eastAsia="Times New Roman" w:cstheme="minorHAnsi"/>
          <w:color w:val="3C3C3C"/>
          <w:sz w:val="21"/>
          <w:szCs w:val="21"/>
          <w:lang w:eastAsia="fr-FR"/>
        </w:rPr>
        <w:t xml:space="preserve">Le ministre de </w:t>
      </w:r>
      <w:r w:rsidRPr="00D277A6">
        <w:rPr>
          <w:rFonts w:eastAsia="Times New Roman" w:cstheme="minorHAnsi"/>
          <w:color w:val="3C3C3C"/>
          <w:sz w:val="21"/>
          <w:szCs w:val="21"/>
          <w:lang w:eastAsia="fr-FR"/>
        </w:rPr>
        <w:t>l’Économie</w:t>
      </w:r>
      <w:r w:rsidRPr="00D03329">
        <w:rPr>
          <w:rFonts w:eastAsia="Times New Roman" w:cstheme="minorHAnsi"/>
          <w:color w:val="3C3C3C"/>
          <w:sz w:val="21"/>
          <w:szCs w:val="21"/>
          <w:lang w:eastAsia="fr-FR"/>
        </w:rPr>
        <w:t>, des finances et de la relance,</w:t>
      </w:r>
      <w:r w:rsidRPr="00D03329">
        <w:rPr>
          <w:rFonts w:eastAsia="Times New Roman" w:cstheme="minorHAnsi"/>
          <w:color w:val="3C3C3C"/>
          <w:sz w:val="21"/>
          <w:szCs w:val="21"/>
          <w:lang w:eastAsia="fr-FR"/>
        </w:rPr>
        <w:br/>
        <w:t>Pour le ministre et par délégation :</w:t>
      </w:r>
      <w:r w:rsidRPr="00D03329">
        <w:rPr>
          <w:rFonts w:eastAsia="Times New Roman" w:cstheme="minorHAnsi"/>
          <w:color w:val="3C3C3C"/>
          <w:sz w:val="21"/>
          <w:szCs w:val="21"/>
          <w:lang w:eastAsia="fr-FR"/>
        </w:rPr>
        <w:br/>
        <w:t>Le sous-directeur des assurances,</w:t>
      </w:r>
      <w:r w:rsidRPr="00D03329">
        <w:rPr>
          <w:rFonts w:eastAsia="Times New Roman" w:cstheme="minorHAnsi"/>
          <w:color w:val="3C3C3C"/>
          <w:sz w:val="21"/>
          <w:szCs w:val="21"/>
          <w:lang w:eastAsia="fr-FR"/>
        </w:rPr>
        <w:br/>
        <w:t>L. Corre</w:t>
      </w:r>
    </w:p>
    <w:p w14:paraId="37989188" w14:textId="0E52A348" w:rsidR="00994F83" w:rsidRPr="00D277A6" w:rsidRDefault="00994F83" w:rsidP="007D361B">
      <w:pPr>
        <w:spacing w:after="240" w:line="240" w:lineRule="auto"/>
        <w:ind w:left="372"/>
        <w:rPr>
          <w:rFonts w:eastAsia="Times New Roman" w:cstheme="minorHAnsi"/>
          <w:color w:val="3C3C3C"/>
          <w:sz w:val="21"/>
          <w:szCs w:val="21"/>
          <w:lang w:eastAsia="fr-FR"/>
        </w:rPr>
      </w:pPr>
      <w:r w:rsidRPr="00D03329">
        <w:rPr>
          <w:rFonts w:eastAsia="Times New Roman" w:cstheme="minorHAnsi"/>
          <w:color w:val="3C3C3C"/>
          <w:sz w:val="21"/>
          <w:szCs w:val="21"/>
          <w:lang w:eastAsia="fr-FR"/>
        </w:rPr>
        <w:t xml:space="preserve">Le ministre délégué auprès du ministre de </w:t>
      </w:r>
      <w:r w:rsidRPr="00D277A6">
        <w:rPr>
          <w:rFonts w:eastAsia="Times New Roman" w:cstheme="minorHAnsi"/>
          <w:color w:val="3C3C3C"/>
          <w:sz w:val="21"/>
          <w:szCs w:val="21"/>
          <w:lang w:eastAsia="fr-FR"/>
        </w:rPr>
        <w:t>l’Économie</w:t>
      </w:r>
      <w:r w:rsidRPr="00D03329">
        <w:rPr>
          <w:rFonts w:eastAsia="Times New Roman" w:cstheme="minorHAnsi"/>
          <w:color w:val="3C3C3C"/>
          <w:sz w:val="21"/>
          <w:szCs w:val="21"/>
          <w:lang w:eastAsia="fr-FR"/>
        </w:rPr>
        <w:t>, des finances et de la relance, chargé des comptes publics,</w:t>
      </w:r>
      <w:r w:rsidRPr="00D03329">
        <w:rPr>
          <w:rFonts w:eastAsia="Times New Roman" w:cstheme="minorHAnsi"/>
          <w:color w:val="3C3C3C"/>
          <w:sz w:val="21"/>
          <w:szCs w:val="21"/>
          <w:lang w:eastAsia="fr-FR"/>
        </w:rPr>
        <w:br/>
        <w:t>Pour le ministre et par délégation :</w:t>
      </w:r>
      <w:r w:rsidRPr="00D03329">
        <w:rPr>
          <w:rFonts w:eastAsia="Times New Roman" w:cstheme="minorHAnsi"/>
          <w:color w:val="3C3C3C"/>
          <w:sz w:val="21"/>
          <w:szCs w:val="21"/>
          <w:lang w:eastAsia="fr-FR"/>
        </w:rPr>
        <w:br/>
        <w:t>Le sous-directeur chargé de la 5e sous-direction de la direction du budget,</w:t>
      </w:r>
      <w:r w:rsidRPr="00D03329">
        <w:rPr>
          <w:rFonts w:eastAsia="Times New Roman" w:cstheme="minorHAnsi"/>
          <w:color w:val="3C3C3C"/>
          <w:sz w:val="21"/>
          <w:szCs w:val="21"/>
          <w:lang w:eastAsia="fr-FR"/>
        </w:rPr>
        <w:br/>
        <w:t>P. Chavy</w:t>
      </w:r>
    </w:p>
    <w:p w14:paraId="6571AEA2" w14:textId="77777777" w:rsidR="0087706C" w:rsidRDefault="0087706C" w:rsidP="007D361B">
      <w:pPr>
        <w:spacing w:after="240" w:line="240" w:lineRule="auto"/>
        <w:jc w:val="center"/>
        <w:rPr>
          <w:rFonts w:ascii="MV Boli" w:eastAsia="Times New Roman" w:hAnsi="MV Boli" w:cs="MV Boli"/>
          <w:sz w:val="24"/>
          <w:szCs w:val="24"/>
          <w:lang w:eastAsia="fr-FR"/>
        </w:rPr>
      </w:pPr>
    </w:p>
    <w:p w14:paraId="64CBBAD9" w14:textId="55456AC5" w:rsidR="007D361B" w:rsidRPr="007D361B" w:rsidRDefault="007D361B" w:rsidP="007D361B">
      <w:pPr>
        <w:spacing w:after="240" w:line="240" w:lineRule="auto"/>
        <w:jc w:val="center"/>
        <w:rPr>
          <w:rFonts w:ascii="MV Boli" w:hAnsi="MV Boli" w:cs="MV Boli"/>
          <w:color w:val="538135" w:themeColor="accent6" w:themeShade="BF"/>
          <w:sz w:val="24"/>
          <w:szCs w:val="24"/>
        </w:rPr>
      </w:pPr>
      <w:r w:rsidRPr="007D361B">
        <w:rPr>
          <w:rFonts w:ascii="MV Boli" w:eastAsia="Times New Roman" w:hAnsi="MV Boli" w:cs="MV Boli"/>
          <w:sz w:val="24"/>
          <w:szCs w:val="24"/>
          <w:lang w:eastAsia="fr-FR"/>
        </w:rPr>
        <w:t xml:space="preserve">Extrait : </w:t>
      </w:r>
      <w:r w:rsidRPr="007D361B">
        <w:rPr>
          <w:rFonts w:ascii="MV Boli" w:eastAsia="Times New Roman" w:hAnsi="MV Boli" w:cs="MV Boli"/>
          <w:b/>
          <w:bCs/>
          <w:color w:val="538135" w:themeColor="accent6" w:themeShade="BF"/>
          <w:sz w:val="32"/>
          <w:szCs w:val="32"/>
          <w:lang w:eastAsia="fr-FR"/>
        </w:rPr>
        <w:t>CatNat Flandres – HDF</w:t>
      </w:r>
      <w:r w:rsidRPr="007D361B">
        <w:rPr>
          <w:rFonts w:ascii="MV Boli" w:eastAsia="Times New Roman" w:hAnsi="MV Boli" w:cs="MV Boli"/>
          <w:color w:val="538135" w:themeColor="accent6" w:themeShade="BF"/>
          <w:sz w:val="24"/>
          <w:szCs w:val="24"/>
          <w:lang w:eastAsia="fr-FR"/>
        </w:rPr>
        <w:t xml:space="preserve"> </w:t>
      </w:r>
      <w:r>
        <w:rPr>
          <w:rFonts w:ascii="MV Boli" w:eastAsia="Times New Roman" w:hAnsi="MV Boli" w:cs="MV Boli"/>
          <w:color w:val="538135" w:themeColor="accent6" w:themeShade="BF"/>
          <w:sz w:val="24"/>
          <w:szCs w:val="24"/>
          <w:lang w:eastAsia="fr-FR"/>
        </w:rPr>
        <w:t>« </w:t>
      </w:r>
      <w:r w:rsidRPr="007D361B">
        <w:rPr>
          <w:rFonts w:ascii="MV Boli" w:eastAsia="Times New Roman" w:hAnsi="MV Boli" w:cs="MV Boli"/>
          <w:color w:val="538135" w:themeColor="accent6" w:themeShade="BF"/>
          <w:sz w:val="24"/>
          <w:szCs w:val="24"/>
          <w:lang w:eastAsia="fr-FR"/>
        </w:rPr>
        <w:t>A D S M T S Flandres</w:t>
      </w:r>
      <w:r>
        <w:rPr>
          <w:rFonts w:ascii="MV Boli" w:eastAsia="Times New Roman" w:hAnsi="MV Boli" w:cs="MV Boli"/>
          <w:color w:val="538135" w:themeColor="accent6" w:themeShade="BF"/>
          <w:sz w:val="24"/>
          <w:szCs w:val="24"/>
          <w:lang w:eastAsia="fr-FR"/>
        </w:rPr>
        <w:t> »</w:t>
      </w:r>
    </w:p>
    <w:sectPr w:rsidR="007D361B" w:rsidRPr="007D361B" w:rsidSect="00EF58DB">
      <w:pgSz w:w="11906" w:h="16838" w:code="9"/>
      <w:pgMar w:top="680" w:right="567" w:bottom="680" w:left="567" w:header="567" w:footer="567"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116ED"/>
    <w:multiLevelType w:val="multilevel"/>
    <w:tmpl w:val="7D92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F4970"/>
    <w:multiLevelType w:val="multilevel"/>
    <w:tmpl w:val="3D8CB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9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83"/>
    <w:rsid w:val="0033301F"/>
    <w:rsid w:val="003904C6"/>
    <w:rsid w:val="00531E83"/>
    <w:rsid w:val="007D361B"/>
    <w:rsid w:val="0087706C"/>
    <w:rsid w:val="00994F83"/>
    <w:rsid w:val="00D277A6"/>
    <w:rsid w:val="00EF58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49178"/>
  <w15:chartTrackingRefBased/>
  <w15:docId w15:val="{E5EDF58F-B7EC-4143-902E-510388F8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F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article_jo/JORFARTI000043990329" TargetMode="External"/><Relationship Id="rId13" Type="http://schemas.openxmlformats.org/officeDocument/2006/relationships/hyperlink" Target="https://www.legifrance.gouv.fr/jorf/article_jo/JORFARTI000043990334" TargetMode="External"/><Relationship Id="rId3" Type="http://schemas.openxmlformats.org/officeDocument/2006/relationships/settings" Target="settings.xml"/><Relationship Id="rId7" Type="http://schemas.openxmlformats.org/officeDocument/2006/relationships/hyperlink" Target="https://www.legifrance.gouv.fr/affichCode.do?cidTexte=LEGITEXT000006073984&amp;dateTexte=29990101&amp;categorieLien=cid" TargetMode="External"/><Relationship Id="rId12" Type="http://schemas.openxmlformats.org/officeDocument/2006/relationships/hyperlink" Target="https://www.legifrance.gouv.fr/affichCode.do?cidTexte=LEGITEXT000006073984&amp;dateTexte=&amp;categorieLien=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gifrance.gouv.fr/download/pdf?id=fXWAM7PcKNDrYJytxMfNa1sDFihSq-tW46KWa2ISZzs=" TargetMode="External"/><Relationship Id="rId11" Type="http://schemas.openxmlformats.org/officeDocument/2006/relationships/hyperlink" Target="https://www.legifrance.gouv.fr/affichCode.do?cidTexte=LEGITEXT000006073984&amp;dateTexte=&amp;categorieLien=cid" TargetMode="External"/><Relationship Id="rId5" Type="http://schemas.openxmlformats.org/officeDocument/2006/relationships/hyperlink" Target="https://www.legifrance.gouv.fr/jorf/jo/2021/08/31/0202" TargetMode="External"/><Relationship Id="rId15" Type="http://schemas.openxmlformats.org/officeDocument/2006/relationships/fontTable" Target="fontTable.xml"/><Relationship Id="rId10" Type="http://schemas.openxmlformats.org/officeDocument/2006/relationships/hyperlink" Target="https://www.legifrance.gouv.fr/jorf/article_jo/JORFARTI000043990331" TargetMode="External"/><Relationship Id="rId4" Type="http://schemas.openxmlformats.org/officeDocument/2006/relationships/webSettings" Target="webSettings.xml"/><Relationship Id="rId9" Type="http://schemas.openxmlformats.org/officeDocument/2006/relationships/hyperlink" Target="https://www.legifrance.gouv.fr/affichCode.do?cidTexte=LEGITEXT000006073984&amp;dateTexte=&amp;categorieLien=cid" TargetMode="External"/><Relationship Id="rId14" Type="http://schemas.openxmlformats.org/officeDocument/2006/relationships/hyperlink" Target="https://www.legifrance.gouv.fr/jorf/article_jo/JORFARTI00004399033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830</Words>
  <Characters>4569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BASTIEN</dc:creator>
  <cp:keywords/>
  <dc:description/>
  <cp:lastModifiedBy>pascal BASTIEN</cp:lastModifiedBy>
  <cp:revision>4</cp:revision>
  <dcterms:created xsi:type="dcterms:W3CDTF">2021-09-02T07:31:00Z</dcterms:created>
  <dcterms:modified xsi:type="dcterms:W3CDTF">2021-09-02T07:57:00Z</dcterms:modified>
</cp:coreProperties>
</file>